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both"/>
      </w:pPr>
      <w:bookmarkStart w:id="0" w:name="_GoBack"/>
      <w:bookmarkEnd w:id="0"/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/>
          <w:bCs/>
          <w:sz w:val="44"/>
          <w:szCs w:val="36"/>
        </w:rPr>
        <w:t>宣城市市委党校2019年度一般公共预算财政</w:t>
      </w:r>
    </w:p>
    <w:p>
      <w:pPr>
        <w:adjustRightInd w:val="0"/>
        <w:snapToGrid w:val="0"/>
        <w:jc w:val="center"/>
        <w:rPr>
          <w:rFonts w:ascii="方正小标宋简体" w:hAnsi="方正小标宋简体" w:eastAsia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/>
          <w:bCs/>
          <w:sz w:val="44"/>
          <w:szCs w:val="36"/>
        </w:rPr>
        <w:t>拨款“三公”经费支出决算情况说明</w:t>
      </w:r>
    </w:p>
    <w:p>
      <w:pPr>
        <w:jc w:val="center"/>
        <w:rPr>
          <w:rFonts w:ascii="楷体_GB2312" w:eastAsia="楷体_GB2312"/>
          <w:szCs w:val="32"/>
        </w:rPr>
      </w:pPr>
    </w:p>
    <w:p>
      <w:pPr>
        <w:rPr>
          <w:rFonts w:ascii="黑体" w:hAnsi="黑体" w:eastAsia="黑体"/>
          <w:szCs w:val="32"/>
        </w:rPr>
      </w:pPr>
      <w:r>
        <w:rPr>
          <w:rFonts w:hint="eastAsia" w:ascii="仿宋_GB2312" w:hAnsi="仿宋_GB2312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 xml:space="preserve"> 一、2019年度一般公共预算财政拨款“三公”经费支出决算表</w:t>
      </w:r>
    </w:p>
    <w:p>
      <w:pPr>
        <w:rPr>
          <w:rFonts w:ascii="仿宋_GB2312" w:hAnsi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                                 单位：万元</w:t>
      </w:r>
    </w:p>
    <w:tbl>
      <w:tblPr>
        <w:tblpPr w:leftFromText="180" w:rightFromText="180" w:vertAnchor="text" w:horzAnchor="margin" w:tblpXSpec="left" w:tblpY="454"/>
        <w:tblOverlap w:val="never"/>
        <w:tblW w:w="87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9"/>
        <w:gridCol w:w="2157"/>
        <w:gridCol w:w="2220"/>
      </w:tblGrid>
      <w:tr>
        <w:trPr>
          <w:trHeight w:val="510" w:hRule="exact"/>
        </w:trPr>
        <w:tc>
          <w:tcPr>
            <w:tcW w:w="4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Cs w:val="21"/>
              </w:rPr>
              <w:t>项  目</w:t>
            </w:r>
          </w:p>
        </w:tc>
        <w:tc>
          <w:tcPr>
            <w:tcW w:w="2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Cs w:val="21"/>
              </w:rPr>
              <w:t>预 算 数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Cs w:val="21"/>
              </w:rPr>
              <w:t>决 算 数</w:t>
            </w:r>
          </w:p>
        </w:tc>
      </w:tr>
      <w:tr>
        <w:trPr>
          <w:trHeight w:val="510" w:hRule="exac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Cs w:val="21"/>
              </w:rPr>
              <w:t>合  计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Cs w:val="21"/>
              </w:rPr>
              <w:t>18.6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b/>
                <w:bCs/>
                <w:kern w:val="0"/>
                <w:szCs w:val="21"/>
              </w:rPr>
              <w:t>13.73　</w:t>
            </w:r>
          </w:p>
        </w:tc>
      </w:tr>
      <w:tr>
        <w:trPr>
          <w:trHeight w:val="510" w:hRule="exac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因公出国（境）费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6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1.6</w:t>
            </w:r>
          </w:p>
        </w:tc>
      </w:tr>
      <w:tr>
        <w:trPr>
          <w:trHeight w:val="510" w:hRule="exac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公务接待费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4.5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4.33</w:t>
            </w:r>
          </w:p>
        </w:tc>
      </w:tr>
      <w:tr>
        <w:trPr>
          <w:trHeight w:val="510" w:hRule="exac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8.1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7.8</w:t>
            </w:r>
          </w:p>
        </w:tc>
      </w:tr>
      <w:tr>
        <w:trPr>
          <w:trHeight w:val="510" w:hRule="exac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 xml:space="preserve">  其中：公务用车运行维护费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8.1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7.8</w:t>
            </w:r>
          </w:p>
        </w:tc>
      </w:tr>
      <w:tr>
        <w:trPr>
          <w:trHeight w:val="510" w:hRule="exact"/>
        </w:trPr>
        <w:tc>
          <w:tcPr>
            <w:tcW w:w="43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 xml:space="preserve">        公务用车购置费 </w:t>
            </w:r>
          </w:p>
        </w:tc>
        <w:tc>
          <w:tcPr>
            <w:tcW w:w="2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0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仿宋_GB2312" w:cs="宋体"/>
                <w:kern w:val="0"/>
                <w:szCs w:val="21"/>
              </w:rPr>
            </w:pPr>
            <w:r>
              <w:rPr>
                <w:rFonts w:hint="eastAsia" w:ascii="仿宋_GB2312" w:hAnsi="仿宋_GB2312" w:cs="宋体"/>
                <w:kern w:val="0"/>
                <w:szCs w:val="21"/>
              </w:rPr>
              <w:t>　0</w:t>
            </w:r>
          </w:p>
        </w:tc>
      </w:tr>
    </w:tbl>
    <w:p>
      <w:pPr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 xml:space="preserve">                             </w:t>
      </w:r>
    </w:p>
    <w:p>
      <w:pPr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 xml:space="preserve"> </w:t>
      </w:r>
      <w:r>
        <w:rPr>
          <w:rFonts w:hint="eastAsia" w:ascii="仿宋_GB2312" w:hAnsi="仿宋_GB2312"/>
          <w:szCs w:val="32"/>
        </w:rPr>
        <w:t xml:space="preserve"> </w:t>
      </w:r>
      <w:r>
        <w:rPr>
          <w:rFonts w:hint="eastAsia" w:ascii="黑体" w:hAnsi="黑体" w:eastAsia="黑体"/>
          <w:szCs w:val="32"/>
        </w:rPr>
        <w:t xml:space="preserve">  二、2019年度一般公共预算财政拨款“三公”经费支出情况说明</w:t>
      </w:r>
    </w:p>
    <w:p>
      <w:pPr>
        <w:ind w:firstLine="630" w:firstLineChars="200"/>
        <w:rPr>
          <w:rFonts w:ascii="仿宋_GB2312" w:hAnsi="仿宋_GB2312"/>
          <w:b/>
          <w:szCs w:val="32"/>
        </w:rPr>
      </w:pPr>
      <w:r>
        <w:rPr>
          <w:rFonts w:hint="eastAsia" w:ascii="仿宋_GB2312" w:hAnsi="仿宋_GB2312"/>
          <w:b/>
          <w:szCs w:val="32"/>
        </w:rPr>
        <w:t>（一）一般公共预算财政拨款“三公”经费支出决算总体情况说明。</w:t>
      </w:r>
    </w:p>
    <w:p>
      <w:pPr>
        <w:ind w:firstLine="628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宣城市市委党校2019年度一般公共预算财政拨款“三公”经费支出预算为18.6万元，支出决算为13.73万元，完成预算的73.82%，决算数小于预算数的主要原因：一是是香港等境外地区社会治安问题，省校取消了骨干教师的出境培训。二是节约开支，公务接待费和公务车运行维护费都较上年减少。</w:t>
      </w:r>
    </w:p>
    <w:p>
      <w:pPr>
        <w:ind w:firstLine="630" w:firstLineChars="200"/>
        <w:rPr>
          <w:rFonts w:ascii="仿宋_GB2312" w:hAnsi="仿宋_GB2312"/>
          <w:b/>
          <w:szCs w:val="32"/>
        </w:rPr>
      </w:pPr>
      <w:r>
        <w:rPr>
          <w:rFonts w:hint="eastAsia" w:ascii="仿宋_GB2312" w:hAnsi="仿宋_GB2312"/>
          <w:b/>
          <w:bCs/>
          <w:szCs w:val="32"/>
        </w:rPr>
        <w:t>（二）</w:t>
      </w:r>
      <w:r>
        <w:rPr>
          <w:rFonts w:hint="eastAsia" w:ascii="仿宋_GB2312" w:hAnsi="仿宋_GB2312"/>
          <w:b/>
          <w:szCs w:val="32"/>
        </w:rPr>
        <w:t>一般公共预算财政拨款“三公”经费支出决算具体情况说明。</w:t>
      </w:r>
    </w:p>
    <w:p>
      <w:pPr>
        <w:ind w:firstLine="628" w:firstLineChars="200"/>
        <w:rPr>
          <w:rFonts w:ascii="仿宋_GB2312" w:hAnsi="仿宋_GB2312"/>
          <w:szCs w:val="32"/>
        </w:rPr>
      </w:pPr>
      <w:r>
        <w:rPr>
          <w:rFonts w:hint="eastAsia" w:ascii="仿宋_GB2312" w:hAnsi="仿宋_GB2312"/>
          <w:szCs w:val="32"/>
        </w:rPr>
        <w:t>宣城市市委党校2019年度一般公共预算财政拨款“三公”经费支出决算中，因公出国（境）费支出决算1.6万元，占11.65%;公务接待费支出决算4.33万元，占31.54%；公务用车购置及运行维护费支出决算7.8万元，占56.81%。具体情况如下：</w:t>
      </w:r>
    </w:p>
    <w:p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1</w:t>
      </w:r>
      <w:r>
        <w:rPr>
          <w:rFonts w:hint="eastAsia" w:ascii="仿宋_GB2312" w:hAnsi="仿宋_GB2312"/>
          <w:b/>
          <w:bCs/>
          <w:szCs w:val="32"/>
        </w:rPr>
        <w:t>.因公出国（境）费支出</w:t>
      </w:r>
      <w:r>
        <w:rPr>
          <w:rFonts w:hint="eastAsia" w:ascii="仿宋_GB2312" w:hAnsi="仿宋"/>
          <w:szCs w:val="32"/>
        </w:rPr>
        <w:t>1.6万元，与2019年度预算相比，减少4.4万元，下降73.3%。</w:t>
      </w:r>
      <w:r>
        <w:rPr>
          <w:rFonts w:hint="eastAsia" w:ascii="仿宋_GB2312" w:hAnsi="仿宋_GB2312"/>
          <w:szCs w:val="32"/>
        </w:rPr>
        <w:t>下降的原因是香港等境外地区社会治安问题，省校取消了骨干教师的出境培训。</w:t>
      </w:r>
      <w:r>
        <w:rPr>
          <w:rFonts w:hint="eastAsia" w:ascii="仿宋_GB2312" w:hAnsi="仿宋"/>
          <w:szCs w:val="32"/>
        </w:rPr>
        <w:t>2019年宣城市委党校共出国（境）1批，累计出国（境）1人次。该项经费根据省外办批准的因公临时出国（境）计划，按照规定标准安排，主要用于提高教职人员的管理与教学水平，安排骨干人员外出培训考察。经费使用严格按照《宣城市市直党政干部因公出国（境）经费管理暂行办法》（财行〔2009〕156号）、《宣城市市直党政机关因公短期出国培训费用管理办法》（财行〔2016〕499号）等相关规定执行。</w:t>
      </w:r>
    </w:p>
    <w:p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2.</w:t>
      </w:r>
      <w:r>
        <w:rPr>
          <w:rFonts w:hint="eastAsia" w:ascii="仿宋_GB2312" w:hAnsi="仿宋_GB2312"/>
          <w:b/>
          <w:bCs/>
          <w:szCs w:val="32"/>
        </w:rPr>
        <w:t>公务接待费支出</w:t>
      </w:r>
      <w:r>
        <w:rPr>
          <w:rFonts w:hint="eastAsia" w:ascii="仿宋_GB2312" w:hAnsi="仿宋"/>
          <w:szCs w:val="32"/>
        </w:rPr>
        <w:t>4.33万元</w:t>
      </w:r>
      <w:r>
        <w:rPr>
          <w:rFonts w:hint="eastAsia" w:ascii="仿宋_GB2312" w:hAnsi="仿宋_GB2312"/>
          <w:b/>
          <w:bCs/>
          <w:szCs w:val="32"/>
        </w:rPr>
        <w:t>,</w:t>
      </w:r>
      <w:r>
        <w:rPr>
          <w:rFonts w:hint="eastAsia" w:ascii="仿宋_GB2312" w:hAnsi="仿宋"/>
          <w:szCs w:val="32"/>
        </w:rPr>
        <w:t xml:space="preserve"> 与2019年度预算相比，减少0.17万元，下降0.4%，减少的原因是控制了公务接待的次数节约了行政成本。2019年宣城市委党校国内公务接待共41批次，330人次。主要是用于省委党校和其他各地党校人员指导工作或考察等。经费使用贯彻党中央“八项规定”和省委、市委30条要求，严格执行《党政机关厉行节约反对浪费条例》、《宣城市市直单位接待经费管理暂行办法》（财行〔2013〕205号）、《宣城市党政机关国内公务接待管理办法》（宣办发〔2015〕23号）相关规定。</w:t>
      </w:r>
    </w:p>
    <w:p>
      <w:pPr>
        <w:ind w:firstLine="628" w:firstLineChars="200"/>
        <w:rPr>
          <w:rFonts w:ascii="仿宋_GB2312" w:hAnsi="仿宋"/>
          <w:szCs w:val="32"/>
        </w:rPr>
      </w:pPr>
      <w:r>
        <w:rPr>
          <w:rFonts w:hint="eastAsia" w:ascii="仿宋_GB2312" w:hAnsi="仿宋"/>
          <w:szCs w:val="32"/>
        </w:rPr>
        <w:t>3.</w:t>
      </w:r>
      <w:r>
        <w:rPr>
          <w:rFonts w:hint="eastAsia" w:ascii="仿宋_GB2312" w:hAnsi="仿宋_GB2312"/>
          <w:b/>
          <w:bCs/>
          <w:szCs w:val="32"/>
        </w:rPr>
        <w:t>公务用车购置及运行费支出</w:t>
      </w:r>
      <w:r>
        <w:rPr>
          <w:rFonts w:hint="eastAsia" w:ascii="仿宋_GB2312" w:hAnsi="仿宋"/>
          <w:szCs w:val="32"/>
        </w:rPr>
        <w:t>7.8万元，与2019年度预算相比，减少0.3万元，减少3.7%，减少的原因是降低公务用车的使用率。2019年没有安排公务用车购置费，全部为公务用车运行维护费，包括车辆燃料费、维修费、过路过桥费、保险费等支出，主要用于公务用车、外出考察等。2019年末，宣城市委党校开支财政拨款的公务用车保有量为0辆。</w:t>
      </w:r>
    </w:p>
    <w:p>
      <w:pPr>
        <w:ind w:firstLine="628" w:firstLineChars="200"/>
      </w:pPr>
      <w:r>
        <w:rPr>
          <w:rFonts w:hint="eastAsia" w:ascii="仿宋_GB2312" w:hAnsi="仿宋"/>
          <w:szCs w:val="32"/>
        </w:rPr>
        <w:t>联系方式：宣城市委党校政务公开电子邮箱：</w:t>
      </w:r>
      <w:r>
        <w:rPr>
          <w:rFonts w:hint="eastAsia" w:ascii="仿宋" w:hAnsi="仿宋" w:eastAsia="仿宋" w:cs="宋体"/>
          <w:szCs w:val="32"/>
        </w:rPr>
        <w:t>xchdx@126.com</w:t>
      </w:r>
      <w:r>
        <w:rPr>
          <w:rFonts w:hint="eastAsia" w:ascii="仿宋_GB2312" w:hAnsi="仿宋"/>
          <w:szCs w:val="32"/>
        </w:rPr>
        <w:t>。</w:t>
      </w:r>
    </w:p>
    <w:p>
      <w:pPr>
        <w:pStyle w:val="2"/>
        <w:ind w:left="1258" w:hanging="1258"/>
        <w:jc w:val="both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32"/>
        </w:rPr>
        <w:t xml:space="preserve">       </w:t>
      </w:r>
    </w:p>
    <w:sectPr>
      <w:footerReference r:id="rId4" w:type="default"/>
      <w:footerReference r:id="rId5" w:type="even"/>
      <w:pgSz w:w="11906" w:h="16838"/>
      <w:pgMar w:top="1871" w:right="1531" w:bottom="1531" w:left="1531" w:header="0" w:footer="1588" w:gutter="0"/>
      <w:cols w:space="720" w:num="1"/>
      <w:docGrid w:type="linesAndChars" w:linePitch="569" w:charSpace="-12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right" w:y="1"/>
      <w:rPr>
        <w:rStyle w:val="11"/>
        <w:rFonts w:ascii="仿宋_GB2312"/>
        <w:sz w:val="28"/>
      </w:rPr>
    </w:pPr>
    <w:r>
      <w:rPr>
        <w:rStyle w:val="11"/>
        <w:rFonts w:hint="eastAsia" w:ascii="仿宋_GB2312"/>
        <w:sz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11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11"/>
        <w:rFonts w:ascii="仿宋_GB2312"/>
        <w:sz w:val="28"/>
        <w:szCs w:val="28"/>
      </w:rPr>
      <w:t>3</w:t>
    </w:r>
    <w:r>
      <w:rPr>
        <w:rFonts w:hint="eastAsia" w:ascii="仿宋_GB2312"/>
        <w:sz w:val="28"/>
        <w:szCs w:val="28"/>
      </w:rPr>
      <w:fldChar w:fldCharType="end"/>
    </w:r>
    <w:r>
      <w:rPr>
        <w:rStyle w:val="11"/>
        <w:rFonts w:hint="eastAsia" w:ascii="仿宋_GB2312"/>
        <w:sz w:val="28"/>
        <w:szCs w:val="28"/>
      </w:rPr>
      <w:t>-</w:t>
    </w:r>
  </w:p>
  <w:p>
    <w:pPr>
      <w:pStyle w:val="3"/>
      <w:ind w:right="360"/>
      <w:jc w:val="right"/>
      <w:rPr>
        <w:rFonts w:ascii="仿宋_GB2312"/>
        <w:sz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right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</w: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5"/>
  <w:drawingGridHorizontalSpacing w:val="157"/>
  <w:drawingGridVerticalSpacing w:val="569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</w:style>
  <w:style w:type="paragraph" w:styleId="2">
    <w:name w:val="Body Text"/>
    <w:basedOn w:val="1"/>
    <w:pPr>
      <w:jc w:val="center"/>
    </w:pPr>
    <w:rPr>
      <w:rFonts w:eastAsia="黑体"/>
      <w:sz w:val="36"/>
    </w:rPr>
  </w:style>
  <w:style w:type="paragraph" w:styleId="3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Strong"/>
    <w:basedOn w:val="5"/>
    <w:rPr>
      <w:b/>
      <w:bCs/>
    </w:rPr>
  </w:style>
  <w:style w:type="paragraph" w:customStyle="1" w:styleId="7">
    <w:name w:val="批注框文本 Char Char"/>
    <w:basedOn w:val="1"/>
    <w:rPr>
      <w:sz w:val="18"/>
      <w:szCs w:val="18"/>
    </w:rPr>
  </w:style>
  <w:style w:type="paragraph" w:customStyle="1" w:styleId="8">
    <w:name w:val="普通(网站)1"/>
    <w:basedOn w:val="1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列出段落1"/>
    <w:basedOn w:val="1"/>
    <w:pPr>
      <w:ind w:firstLine="420" w:firstLineChars="200"/>
    </w:pPr>
    <w:rPr>
      <w:rFonts w:ascii="Calibri" w:hAnsi="Calibri" w:eastAsia="宋体"/>
      <w:sz w:val="21"/>
      <w:szCs w:val="21"/>
    </w:rPr>
  </w:style>
  <w:style w:type="character" w:customStyle="1" w:styleId="10">
    <w:name w:val="page number"/>
    <w:basedOn w:val="5"/>
    <w:rPr/>
  </w:style>
  <w:style w:type="character" w:customStyle="1" w:styleId="11">
    <w:name w:val="页码1"/>
    <w:basedOn w:val="5"/>
    <w:rPr/>
  </w:style>
  <w:style w:type="character" w:customStyle="1" w:styleId="12">
    <w:name w:val="15"/>
    <w:basedOn w:val="5"/>
    <w:rPr>
      <w:rFonts w:hint="default" w:ascii="Calibri" w:hAnsi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1695</Words>
  <Characters>9663</Characters>
  <Lines>80</Lines>
  <Paragraphs>22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2020-09-21T19:04:00Z</dcterms:created>
  <dc:creator>杨丽</dc:creator>
  <cp:lastPrinted>2020-08-05T01:12:00Z</cp:lastPrinted>
  <dcterms:modified xsi:type="dcterms:W3CDTF">2020-09-21T11:24:10Z</dcterms:modified>
  <dc:title>财〔2002〕号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